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178" w:lineRule="auto"/>
        <w:ind w:left="-26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Памятка о мерах по предупреждению хищений денежных средств при использовании банковских карт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Прокуратурой района по итогам 2020 года проанализирована эффективность профилактики преступлений, совершаемых с использованием информационно-коммуникационных технологий.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Всего в 2020 году совершено 1042 (+988) таких преступлений. Значительный рост обусловлен совершением хищений с банковских счетов граждан, в том числе дистанционным способом.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предотвращения противоправных действий по снятию денежных средств с банковского счета необходимо исходить из того, что сотрудники банка никогда по телефону или в электронном письме не запрашивают: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персональные сведения (серия и номер паспорта, адрес регистрации, имя и фамилия владельца карты);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пароли или коды из смс-сообщений для подтверждения финансовых операций или их отмены;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логин, пин-код 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CVV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 банковских карт;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Сотрудники банка также не предлагают: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перейти по ссылке из смс-сообщения;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включить переадресацию на телефоне клиента для совершения в дальнейшем звонка от его имени в банк;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 их руководством перевести для сохранности денежные средства на «защищенный счет»;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зайти в онлайн-кабинет по ссылке из смс-сообщения или электронного письма.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Банк инициирует общение с клиентом только для консультаций по финансовым продуктам и услугам кредитно-финансового учреждения. При этом звонки совершаются с номеров, указанных на оборотней стороне карты, на сайте банка. Иные номера не имеют никакого отношения к банку.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Держатель карты обязан самостоятельно обеспечить конфиденциальность ее реквизитов и в этой связи избегать: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подключения к общедоступным сетям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Wi-Fi;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использования пин-кода или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CVV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-кода при заказе товаров и услуг через сеть Интернет и по телефону;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8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сообщения кодов третьим лицам.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использовании банкоматов отдавайте предпочтение тем, которые установлены в защищенных местах (в госучреждениях, офисах банков, крупных торговых центрах).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использованием банкомата осмотрите его и убедитесь, что все операции, совершаемые предыдущим клиентом, завершены, что на клавиатуре и в месте для приема карт нет дополнительных устройств.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использовании мобильного телефона соблюдайте следующие правила: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13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установке приложений обращайте внимание на полномочия, которые они запрашивают. Будьте осторожны, если приложение просит права на чтение адресной книги, отправку смс-сообщений и доступ к сети Интернет;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2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отключите в настройках возможность использования голосового управления при заблокированном экране.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Применяя сервисы смс-банка, сверяйте реквизиты операции в смс- сообщении с одноразовым паролем от официального номера банка. Если реквизиты не совпадают, то такой пароль вводить нельзя.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оплате услуг картой в сети Интернет необходимо всегда учитывать высокую вероятность перехода на поддельный сайт, созданный мошенниками для компрометации клиентских данных. Поэтому необходимо использовать только проверенные сайты, внимательно читать тексты смс-сообщений с кодами подтверждений, проверять реквизиты операции.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лимита, ограничивающего операции для данного вида карты.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смс-банка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 карту, обратившись к сотовому оператору.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sectPr>
      <w:headerReference w:type="default" r:id="rId5"/>
      <w:headerReference w:type="even" r:id="rId6"/>
      <w:footnotePr>
        <w:pos w:val="pageBottom"/>
        <w:numFmt w:val="decimal"/>
        <w:numRestart w:val="continuous"/>
      </w:footnotePr>
      <w:pgSz w:w="11900" w:h="16840"/>
      <w:pgMar w:top="1254" w:left="1647" w:right="519" w:bottom="1100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4231005</wp:posOffset>
              </wp:positionH>
              <wp:positionV relativeFrom="page">
                <wp:posOffset>494030</wp:posOffset>
              </wp:positionV>
              <wp:extent cx="5461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3.14999999999998pt;margin-top:38.899999999999999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